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0" w:after="120"/>
        <w:jc w:val="center"/>
        <w:rPr>
          <w:sz w:val="32"/>
          <w:szCs w:val="32"/>
          <w:highlight w:val="none"/>
        </w:rPr>
      </w:pPr>
      <w:r>
        <w:rPr>
          <w:rFonts w:hint="eastAsia"/>
          <w:sz w:val="32"/>
          <w:szCs w:val="32"/>
          <w:highlight w:val="none"/>
        </w:rPr>
        <w:t>用户需求书</w:t>
      </w:r>
    </w:p>
    <w:p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/>
        <w:jc w:val="both"/>
        <w:textAlignment w:val="auto"/>
        <w:rPr>
          <w:rFonts w:hint="eastAsia" w:ascii="仿宋_GB2312" w:hAnsi="仿宋_GB2312" w:eastAsia="仿宋_GB2312" w:cs="仿宋_GB2312"/>
          <w:bCs/>
          <w:kern w:val="44"/>
          <w:sz w:val="28"/>
          <w:szCs w:val="28"/>
          <w:highlight w:val="none"/>
          <w:lang w:val="en-US" w:eastAsia="zh-CN"/>
        </w:rPr>
      </w:pPr>
      <w:bookmarkStart w:id="0" w:name="_Toc14490"/>
      <w:bookmarkStart w:id="1" w:name="_Toc119"/>
      <w:bookmarkStart w:id="2" w:name="_Toc18513"/>
      <w:bookmarkStart w:id="3" w:name="_Toc9965"/>
      <w:bookmarkStart w:id="4" w:name="_Toc7609"/>
      <w:bookmarkStart w:id="5" w:name="_Toc27267"/>
      <w:bookmarkStart w:id="6" w:name="_Toc9172"/>
      <w:r>
        <w:rPr>
          <w:rFonts w:hint="eastAsia" w:ascii="仿宋_GB2312" w:hAnsi="仿宋_GB2312" w:eastAsia="仿宋_GB2312" w:cs="仿宋_GB2312"/>
          <w:bCs/>
          <w:kern w:val="44"/>
          <w:sz w:val="28"/>
          <w:szCs w:val="28"/>
          <w:highlight w:val="none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bCs/>
          <w:kern w:val="44"/>
          <w:sz w:val="28"/>
          <w:szCs w:val="28"/>
          <w:highlight w:val="none"/>
          <w:lang w:val="zh-CN"/>
        </w:rPr>
        <w:t>、</w:t>
      </w:r>
      <w:r>
        <w:rPr>
          <w:rFonts w:hint="eastAsia" w:ascii="仿宋_GB2312" w:hAnsi="仿宋_GB2312" w:eastAsia="仿宋_GB2312" w:cs="仿宋_GB2312"/>
          <w:bCs/>
          <w:kern w:val="44"/>
          <w:sz w:val="28"/>
          <w:szCs w:val="28"/>
          <w:highlight w:val="none"/>
          <w:lang w:val="en-US" w:eastAsia="zh-CN"/>
        </w:rPr>
        <w:t>项目背景</w:t>
      </w:r>
      <w:bookmarkEnd w:id="0"/>
      <w:bookmarkEnd w:id="1"/>
      <w:bookmarkEnd w:id="2"/>
      <w:bookmarkEnd w:id="3"/>
      <w:bookmarkEnd w:id="4"/>
      <w:bookmarkEnd w:id="5"/>
      <w:bookmarkEnd w:id="6"/>
      <w:bookmarkStart w:id="121" w:name="_GoBack"/>
      <w:bookmarkEnd w:id="121"/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bookmarkStart w:id="7" w:name="_Toc82339511"/>
      <w:bookmarkStart w:id="8" w:name="_Toc397160123"/>
      <w:bookmarkStart w:id="9" w:name="_Toc398885605"/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宁波轨道交通1号线一期、2号线一期、1号线二期均采用卡斯柯信号系统，分别于2014年5月、2015年9月、2016年3月开通试运营开始投入使用，设备使用时间已有近7-9年，随着运营年限的不断增加，设备元器件的不断损耗，信号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  <w:t>专业在设备维护和故障处理过程中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会产生设备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  <w:t>坏件，为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提升设备资源管理及质量控制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  <w:t>，针对具备维修价值的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设备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  <w:t>有计划的开展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送外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  <w:t>维修工作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符合“提质增效”目标。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  <w:t>本项目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计划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  <w:t>采用框架协议的方式，针对无法自主修复的设备（零部件）组织送外维修，缩短维修周期，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保障现场备件充裕性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  <w:t>。</w:t>
      </w:r>
    </w:p>
    <w:bookmarkEnd w:id="7"/>
    <w:bookmarkEnd w:id="8"/>
    <w:bookmarkEnd w:id="9"/>
    <w:p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/>
        <w:jc w:val="both"/>
        <w:textAlignment w:val="auto"/>
        <w:rPr>
          <w:rFonts w:hint="eastAsia" w:ascii="仿宋_GB2312" w:hAnsi="仿宋_GB2312" w:eastAsia="仿宋_GB2312" w:cs="仿宋_GB2312"/>
          <w:bCs/>
          <w:kern w:val="44"/>
          <w:sz w:val="28"/>
          <w:szCs w:val="28"/>
          <w:highlight w:val="none"/>
          <w:lang w:val="en-US" w:eastAsia="zh-CN"/>
        </w:rPr>
      </w:pPr>
      <w:bookmarkStart w:id="10" w:name="_Toc447615060"/>
      <w:bookmarkStart w:id="11" w:name="_Toc439808421"/>
      <w:bookmarkStart w:id="12" w:name="_Toc430781560"/>
      <w:bookmarkStart w:id="13" w:name="_Toc27883"/>
      <w:bookmarkStart w:id="14" w:name="_Toc31392"/>
      <w:bookmarkStart w:id="15" w:name="_Toc4099"/>
      <w:bookmarkStart w:id="16" w:name="_Toc22275"/>
      <w:bookmarkStart w:id="17" w:name="_Toc22742"/>
      <w:bookmarkStart w:id="18" w:name="_Toc24681"/>
      <w:bookmarkStart w:id="19" w:name="_Toc4395"/>
      <w:bookmarkStart w:id="20" w:name="_Toc21828"/>
      <w:bookmarkStart w:id="21" w:name="_Toc5673"/>
      <w:r>
        <w:rPr>
          <w:rFonts w:hint="eastAsia" w:ascii="仿宋_GB2312" w:hAnsi="仿宋_GB2312" w:eastAsia="仿宋_GB2312" w:cs="仿宋_GB2312"/>
          <w:bCs/>
          <w:kern w:val="44"/>
          <w:sz w:val="28"/>
          <w:szCs w:val="28"/>
          <w:highlight w:val="none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bCs/>
          <w:kern w:val="44"/>
          <w:sz w:val="28"/>
          <w:szCs w:val="28"/>
          <w:highlight w:val="none"/>
          <w:lang w:val="zh-CN" w:eastAsia="zh-CN"/>
        </w:rPr>
        <w:t>项目</w:t>
      </w:r>
      <w:bookmarkEnd w:id="10"/>
      <w:bookmarkEnd w:id="11"/>
      <w:bookmarkEnd w:id="12"/>
      <w:bookmarkEnd w:id="13"/>
      <w:bookmarkEnd w:id="14"/>
      <w:bookmarkEnd w:id="15"/>
      <w:r>
        <w:rPr>
          <w:rFonts w:hint="eastAsia" w:ascii="仿宋_GB2312" w:hAnsi="仿宋_GB2312" w:eastAsia="仿宋_GB2312" w:cs="仿宋_GB2312"/>
          <w:bCs/>
          <w:kern w:val="44"/>
          <w:sz w:val="28"/>
          <w:szCs w:val="28"/>
          <w:highlight w:val="none"/>
          <w:lang w:val="en-US" w:eastAsia="zh-CN"/>
        </w:rPr>
        <w:t>概述</w:t>
      </w:r>
      <w:bookmarkEnd w:id="16"/>
      <w:bookmarkEnd w:id="17"/>
      <w:bookmarkEnd w:id="18"/>
      <w:bookmarkEnd w:id="19"/>
      <w:bookmarkEnd w:id="20"/>
      <w:bookmarkEnd w:id="21"/>
    </w:p>
    <w:p>
      <w:pPr>
        <w:pStyle w:val="4"/>
        <w:pageBreakBefore w:val="0"/>
        <w:numPr>
          <w:ilvl w:val="1"/>
          <w:numId w:val="0"/>
        </w:numPr>
        <w:tabs>
          <w:tab w:val="left" w:pos="1200"/>
          <w:tab w:val="left" w:pos="23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val="en-US" w:eastAsia="zh-CN"/>
        </w:rPr>
      </w:pPr>
      <w:bookmarkStart w:id="22" w:name="_Toc9010"/>
      <w:bookmarkStart w:id="23" w:name="_Toc30569"/>
      <w:bookmarkStart w:id="24" w:name="_Toc4641"/>
      <w:bookmarkStart w:id="25" w:name="_Toc27484"/>
      <w:bookmarkStart w:id="26" w:name="_Toc3793"/>
      <w:bookmarkStart w:id="27" w:name="_Toc7831"/>
      <w:bookmarkStart w:id="28" w:name="_Toc17712"/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val="en-US" w:eastAsia="zh-CN"/>
        </w:rPr>
        <w:t>2.1项目范围</w:t>
      </w:r>
      <w:bookmarkEnd w:id="22"/>
      <w:bookmarkEnd w:id="23"/>
      <w:bookmarkEnd w:id="24"/>
      <w:bookmarkEnd w:id="25"/>
      <w:bookmarkEnd w:id="26"/>
      <w:bookmarkEnd w:id="27"/>
      <w:bookmarkEnd w:id="28"/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  <w:t>本项目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范围包含宁波轨道交通1号线一期、2号线一期、1号线二期卡斯柯信号系统设备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  <w:t>。</w:t>
      </w:r>
    </w:p>
    <w:p>
      <w:pPr>
        <w:pStyle w:val="4"/>
        <w:pageBreakBefore w:val="0"/>
        <w:numPr>
          <w:ilvl w:val="1"/>
          <w:numId w:val="0"/>
        </w:numPr>
        <w:tabs>
          <w:tab w:val="left" w:pos="1200"/>
          <w:tab w:val="left" w:pos="23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val="en-US" w:eastAsia="zh-CN"/>
        </w:rPr>
      </w:pPr>
      <w:bookmarkStart w:id="29" w:name="_Toc28672"/>
      <w:bookmarkStart w:id="30" w:name="_Toc16362"/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val="en-US" w:eastAsia="zh-CN"/>
        </w:rPr>
        <w:t>2.2服务期限</w:t>
      </w:r>
      <w:bookmarkEnd w:id="29"/>
    </w:p>
    <w:p>
      <w:pPr>
        <w:keepNext/>
        <w:keepLines/>
        <w:pageBreakBefore w:val="0"/>
        <w:widowControl w:val="0"/>
        <w:numPr>
          <w:ilvl w:val="0"/>
          <w:numId w:val="0"/>
        </w:numPr>
        <w:tabs>
          <w:tab w:val="left" w:pos="57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服务期限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为：自合同签订之日起1年，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以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采购人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提交的订单日期为准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。</w:t>
      </w:r>
    </w:p>
    <w:p>
      <w:pPr>
        <w:pStyle w:val="4"/>
        <w:pageBreakBefore w:val="0"/>
        <w:numPr>
          <w:ilvl w:val="1"/>
          <w:numId w:val="0"/>
        </w:numPr>
        <w:tabs>
          <w:tab w:val="left" w:pos="1200"/>
          <w:tab w:val="left" w:pos="23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bookmarkStart w:id="31" w:name="_Toc4212"/>
      <w:bookmarkStart w:id="32" w:name="_Toc2462"/>
      <w:bookmarkStart w:id="33" w:name="_Toc519"/>
      <w:bookmarkStart w:id="34" w:name="_Toc21535"/>
      <w:bookmarkStart w:id="35" w:name="_Toc20848"/>
      <w:bookmarkStart w:id="36" w:name="_Toc9736"/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2.3维修清单</w:t>
      </w:r>
      <w:bookmarkEnd w:id="30"/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及周期要求</w:t>
      </w:r>
      <w:bookmarkEnd w:id="31"/>
      <w:bookmarkEnd w:id="32"/>
      <w:bookmarkEnd w:id="33"/>
      <w:bookmarkEnd w:id="34"/>
      <w:bookmarkEnd w:id="35"/>
      <w:bookmarkEnd w:id="36"/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jc w:val="center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卡斯柯信号系统设备（零部件）维修清单</w:t>
      </w:r>
    </w:p>
    <w:tbl>
      <w:tblPr>
        <w:tblStyle w:val="5"/>
        <w:tblW w:w="97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7"/>
        <w:gridCol w:w="896"/>
        <w:gridCol w:w="2208"/>
        <w:gridCol w:w="2188"/>
        <w:gridCol w:w="1190"/>
        <w:gridCol w:w="865"/>
        <w:gridCol w:w="15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896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  <w:lang w:val="en-US" w:eastAsia="zh-CN" w:bidi="ar"/>
              </w:rPr>
              <w:t>系统</w:t>
            </w: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  <w:lang w:val="en-US" w:eastAsia="zh-CN" w:bidi="ar"/>
              </w:rPr>
              <w:t>维修设备名称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  <w:lang w:val="en-US" w:eastAsia="zh-CN" w:bidi="ar"/>
              </w:rPr>
              <w:t>规格型号</w:t>
            </w:r>
          </w:p>
        </w:tc>
        <w:tc>
          <w:tcPr>
            <w:tcW w:w="119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"/>
              </w:rPr>
              <w:t>暂定设备数量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  <w:lang w:val="en-US" w:eastAsia="zh-CN" w:bidi="ar"/>
              </w:rPr>
              <w:t>单位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highlight w:val="none"/>
                <w:lang w:val="en-US" w:eastAsia="zh-CN" w:bidi="ar"/>
              </w:rPr>
              <w:t>维修周期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96" w:type="dxa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ATC子系统</w:t>
            </w: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CC-CBS板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TRVC062347000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96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CC-CMP板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TRVC062345000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96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CC-CPS板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TRVS339717003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96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CC-DLU板含GPM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TRVC062349000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896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CC-DSI板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TRVC062335000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896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CC-DSO板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TRVC062339000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896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CC-FAG板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TRVC062343000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896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CC-FDI板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TRVC062337000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896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CC-FDO板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TRVC062341000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896" w:type="dxa"/>
            <w:vMerge w:val="continue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CC-GTW0板含GPM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TRVC062351000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896" w:type="dxa"/>
            <w:vMerge w:val="continue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CC-GTW4板含GPM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TRVC062486000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896" w:type="dxa"/>
            <w:vMerge w:val="continue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LEU（欧式编码器）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Casco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896" w:type="dxa"/>
            <w:vMerge w:val="continue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CC-PPU板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TRVC062331000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896" w:type="dxa"/>
            <w:vMerge w:val="continue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CC-PSO板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TRVC062333000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896" w:type="dxa"/>
            <w:vMerge w:val="continue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编码里程计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5.8600.034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60天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896" w:type="dxa"/>
            <w:vMerge w:val="continue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CC风扇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Large Fan Rack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个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896" w:type="dxa"/>
            <w:vMerge w:val="continue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司机显示单元（DMI显示器）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TRVP065825110/K210398-107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60天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896" w:type="dxa"/>
            <w:vMerge w:val="continue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信标天线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23509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60天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896" w:type="dxa"/>
            <w:vMerge w:val="continue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车载中继器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TRVS339736000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60天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896" w:type="dxa"/>
            <w:vMerge w:val="continue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车载交换机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TRVP065665000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台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60天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896" w:type="dxa"/>
            <w:vMerge w:val="continue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ZC\LC风扇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2oo3风扇组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896" w:type="dxa"/>
            <w:vMerge w:val="continue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CPU PSU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DC-DC-... BLOC COMP PSU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60天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896" w:type="dxa"/>
            <w:vMerge w:val="continue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EAU（以太网通信单元）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42009-112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60天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896" w:type="dxa"/>
            <w:vMerge w:val="continue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HSCU（高速通信单元）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SP1301/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60天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896" w:type="dxa"/>
            <w:vMerge w:val="continue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IO PSU（输入输出供电单元）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DC-DC CONVERTER 3U SP9913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60天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896" w:type="dxa"/>
            <w:vMerge w:val="continue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Main PSU（主供电单元）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AC-DC CONVERTER SP9901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60天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896" w:type="dxa"/>
            <w:vMerge w:val="continue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MPU board(128Mb)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含Carte Mezzanine PMC-USB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60天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896" w:type="dxa"/>
            <w:vMerge w:val="continue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REDMAN（冗余管理单元）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BW3B00562C1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60天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896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ATS子系统</w:t>
            </w:r>
          </w:p>
        </w:tc>
        <w:tc>
          <w:tcPr>
            <w:tcW w:w="220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自律机PWR板</w:t>
            </w:r>
          </w:p>
        </w:tc>
        <w:tc>
          <w:tcPr>
            <w:tcW w:w="21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自律机PWR板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86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896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自律机CPU板</w:t>
            </w:r>
          </w:p>
        </w:tc>
        <w:tc>
          <w:tcPr>
            <w:tcW w:w="21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自律机CPU板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86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896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自律机COM板</w:t>
            </w:r>
          </w:p>
        </w:tc>
        <w:tc>
          <w:tcPr>
            <w:tcW w:w="21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自律机COM板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6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896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自律机STBY板</w:t>
            </w:r>
          </w:p>
        </w:tc>
        <w:tc>
          <w:tcPr>
            <w:tcW w:w="21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自律机STBY板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896" w:type="dxa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联锁子系统</w:t>
            </w: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I/OBE2（输入输出总线扩展板）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电路板_N_I/OBE2输入输出总线扩展板12004-104-00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896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I/OBUS2（输入输出总线接口板）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电路板_N_I/OBUS2输入输出总线接口板12004-103-00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896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VIIB（安全型双采输入板）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电路板_S_VIIB16板12004-105-03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896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VPS（安全校验板）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电路板_S_VPS板（12004-102-02）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896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VOOB（安全型双断驱动板）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VOOB8-B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896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VLE板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电路板_N_VLE安全运算板12004-101-00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896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DCS子系统</w:t>
            </w: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调制解调器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DTR0000132500/A9300124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个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896" w:type="dxa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维护支持子系统</w:t>
            </w: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交流道岔表示电压智能采集器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TC6VBIII(110V)32008-412-01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896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开入板24V/48板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KRB24V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896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5V开入板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KRB5V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896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监测CPU板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CPU-II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896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模入板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MRB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67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896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绝缘接口板</w:t>
            </w:r>
          </w:p>
        </w:tc>
        <w:tc>
          <w:tcPr>
            <w:tcW w:w="2188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JYJK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513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86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896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开出板</w:t>
            </w:r>
          </w:p>
        </w:tc>
        <w:tc>
          <w:tcPr>
            <w:tcW w:w="21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KCB</w:t>
            </w:r>
          </w:p>
        </w:tc>
        <w:tc>
          <w:tcPr>
            <w:tcW w:w="119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6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5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30天</w:t>
            </w:r>
          </w:p>
        </w:tc>
      </w:tr>
    </w:tbl>
    <w:p>
      <w:pPr>
        <w:pStyle w:val="4"/>
        <w:pageBreakBefore w:val="0"/>
        <w:numPr>
          <w:ilvl w:val="1"/>
          <w:numId w:val="0"/>
        </w:numPr>
        <w:tabs>
          <w:tab w:val="left" w:pos="1200"/>
          <w:tab w:val="left" w:pos="23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bookmarkStart w:id="37" w:name="_Toc8248"/>
      <w:bookmarkStart w:id="38" w:name="_Toc3729"/>
      <w:bookmarkStart w:id="39" w:name="_Toc11765"/>
      <w:bookmarkStart w:id="40" w:name="_Toc16923"/>
      <w:bookmarkStart w:id="41" w:name="_Toc30278"/>
      <w:bookmarkStart w:id="42" w:name="_Toc27395"/>
      <w:bookmarkStart w:id="43" w:name="_Toc430781561"/>
      <w:bookmarkStart w:id="44" w:name="_Toc439808422"/>
      <w:bookmarkStart w:id="45" w:name="_Toc9548"/>
      <w:bookmarkStart w:id="46" w:name="_Toc447615061"/>
      <w:bookmarkStart w:id="47" w:name="_Toc4768"/>
      <w:bookmarkStart w:id="48" w:name="_Toc10928"/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2.4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标准和技术规范</w:t>
      </w:r>
      <w:bookmarkEnd w:id="37"/>
      <w:bookmarkEnd w:id="38"/>
      <w:bookmarkEnd w:id="39"/>
      <w:bookmarkEnd w:id="40"/>
      <w:bookmarkEnd w:id="41"/>
      <w:bookmarkEnd w:id="42"/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本项目应按下述规程、规则、预案、技术文件、管理文件等组织施工（检修）、维保，包括但不限于：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1、国家、地方以及行业的相关强制性标准。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2、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采购人</w:t>
      </w:r>
      <w:r>
        <w:rPr>
          <w:rFonts w:hint="eastAsia" w:ascii="仿宋_GB2312" w:hAnsi="仿宋_GB2312" w:eastAsia="仿宋_GB2312" w:cs="仿宋_GB2312"/>
          <w:sz w:val="28"/>
          <w:szCs w:val="28"/>
        </w:rPr>
        <w:t>相关专业技术规范、检修规程。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的内部服务标准，以及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公开宣传或承诺的维护服务标准。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4、其他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应执行的维护服务标准。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上述标准之间如有矛盾的，以要求较高者为准。</w:t>
      </w:r>
    </w:p>
    <w:p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/>
        <w:jc w:val="both"/>
        <w:textAlignment w:val="auto"/>
        <w:rPr>
          <w:rFonts w:hint="eastAsia" w:ascii="仿宋_GB2312" w:hAnsi="仿宋_GB2312" w:eastAsia="仿宋_GB2312" w:cs="仿宋_GB2312"/>
          <w:bCs/>
          <w:kern w:val="44"/>
          <w:sz w:val="28"/>
          <w:szCs w:val="28"/>
          <w:lang w:val="zh-CN" w:eastAsia="zh-CN"/>
        </w:rPr>
      </w:pPr>
      <w:bookmarkStart w:id="49" w:name="_Toc20502"/>
      <w:bookmarkStart w:id="50" w:name="_Toc9866"/>
      <w:bookmarkStart w:id="51" w:name="_Toc29715"/>
      <w:bookmarkStart w:id="52" w:name="_Toc13305"/>
      <w:bookmarkStart w:id="53" w:name="_Toc21207"/>
      <w:bookmarkStart w:id="54" w:name="_Toc6023"/>
      <w:r>
        <w:rPr>
          <w:rFonts w:hint="eastAsia" w:ascii="仿宋_GB2312" w:hAnsi="仿宋_GB2312" w:eastAsia="仿宋_GB2312" w:cs="仿宋_GB2312"/>
          <w:bCs/>
          <w:kern w:val="44"/>
          <w:sz w:val="28"/>
          <w:szCs w:val="28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bCs/>
          <w:kern w:val="44"/>
          <w:sz w:val="28"/>
          <w:szCs w:val="28"/>
          <w:lang w:val="zh-CN" w:eastAsia="zh-CN"/>
        </w:rPr>
        <w:t>项目要求</w:t>
      </w:r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</w:p>
    <w:p>
      <w:pPr>
        <w:pStyle w:val="4"/>
        <w:pageBreakBefore w:val="0"/>
        <w:numPr>
          <w:ilvl w:val="1"/>
          <w:numId w:val="0"/>
        </w:numPr>
        <w:tabs>
          <w:tab w:val="left" w:pos="1200"/>
          <w:tab w:val="left" w:pos="23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bookmarkStart w:id="55" w:name="_Toc22083"/>
      <w:bookmarkStart w:id="56" w:name="_Toc28609"/>
      <w:bookmarkStart w:id="57" w:name="_Toc7281"/>
      <w:bookmarkStart w:id="58" w:name="_Toc25087"/>
      <w:bookmarkStart w:id="59" w:name="_Toc27125"/>
      <w:bookmarkStart w:id="60" w:name="_Toc23502"/>
      <w:bookmarkStart w:id="61" w:name="_Toc13167"/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3.1人员要求</w:t>
      </w:r>
      <w:bookmarkEnd w:id="55"/>
      <w:bookmarkEnd w:id="56"/>
      <w:bookmarkEnd w:id="57"/>
      <w:bookmarkEnd w:id="58"/>
      <w:bookmarkEnd w:id="59"/>
      <w:bookmarkEnd w:id="60"/>
      <w:bookmarkEnd w:id="61"/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zh-CN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供应商应针对宁波轨道交通1号线、2号线信号系统设备维修</w:t>
      </w:r>
      <w:r>
        <w:rPr>
          <w:rFonts w:hint="eastAsia" w:ascii="仿宋_GB2312" w:hAnsi="仿宋_GB2312" w:eastAsia="仿宋_GB2312" w:cs="仿宋_GB2312"/>
          <w:sz w:val="28"/>
          <w:szCs w:val="28"/>
          <w:lang w:val="zh-CN" w:eastAsia="zh-CN"/>
        </w:rPr>
        <w:t>项目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情况成立项目组</w:t>
      </w:r>
      <w:r>
        <w:rPr>
          <w:rFonts w:hint="eastAsia" w:ascii="仿宋_GB2312" w:hAnsi="仿宋_GB2312" w:eastAsia="仿宋_GB2312" w:cs="仿宋_GB2312"/>
          <w:sz w:val="28"/>
          <w:szCs w:val="28"/>
          <w:lang w:val="zh-CN" w:eastAsia="zh-CN"/>
        </w:rPr>
        <w:t>，并配置相应的维修人员。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  <w:t>（1）项目负责人（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1人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  <w:t>）：通信信号、电子信息、自动化、计算机、机电类等相关专业中级及以上职称。（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响应文件中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zh-CN" w:eastAsia="zh-CN"/>
        </w:rPr>
        <w:t>提供证书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复印件加盖供应商公章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  <w:t>）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  <w:t>（2）技术负责人（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1人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  <w:t>）：通信信号或仪器仪表及自动化等相关专业中级及以上职称。（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响应文件中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zh-CN" w:eastAsia="zh-CN"/>
        </w:rPr>
        <w:t>提供证书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复印件加盖供应商公章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  <w:t>）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zh-CN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  <w:t>（3）一</w:t>
      </w:r>
      <w:r>
        <w:rPr>
          <w:rFonts w:hint="eastAsia" w:ascii="仿宋_GB2312" w:hAnsi="仿宋_GB2312" w:eastAsia="仿宋_GB2312" w:cs="仿宋_GB2312"/>
          <w:sz w:val="28"/>
          <w:szCs w:val="28"/>
          <w:lang w:val="zh-CN" w:eastAsia="zh-CN"/>
        </w:rPr>
        <w:t>般作业人员：具有维修电子设备（零部件）资质的作业人员，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按需配置，原则上</w:t>
      </w:r>
      <w:r>
        <w:rPr>
          <w:rFonts w:hint="eastAsia" w:ascii="仿宋_GB2312" w:hAnsi="仿宋_GB2312" w:eastAsia="仿宋_GB2312" w:cs="仿宋_GB2312"/>
          <w:sz w:val="28"/>
          <w:szCs w:val="28"/>
          <w:lang w:val="zh-CN" w:eastAsia="zh-CN"/>
        </w:rPr>
        <w:t>不少于2名。</w:t>
      </w:r>
    </w:p>
    <w:p>
      <w:pPr>
        <w:pStyle w:val="4"/>
        <w:pageBreakBefore w:val="0"/>
        <w:numPr>
          <w:ilvl w:val="1"/>
          <w:numId w:val="0"/>
        </w:numPr>
        <w:tabs>
          <w:tab w:val="left" w:pos="1200"/>
          <w:tab w:val="left" w:pos="23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bookmarkStart w:id="62" w:name="_Toc10259"/>
      <w:bookmarkStart w:id="63" w:name="_Toc439808423"/>
      <w:bookmarkStart w:id="64" w:name="_Toc17059"/>
      <w:bookmarkStart w:id="65" w:name="_Toc29315"/>
      <w:bookmarkStart w:id="66" w:name="_Toc16185"/>
      <w:bookmarkStart w:id="67" w:name="_Toc10275"/>
      <w:bookmarkStart w:id="68" w:name="_Toc26950"/>
      <w:bookmarkStart w:id="69" w:name="_Toc15726"/>
      <w:bookmarkStart w:id="70" w:name="_Toc430781562"/>
      <w:bookmarkStart w:id="71" w:name="_Toc447615062"/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3.2 技术要求</w:t>
      </w:r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bookmarkStart w:id="72" w:name="OLE_LINK9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（1）维修后的设备</w:t>
      </w:r>
      <w:r>
        <w:rPr>
          <w:rFonts w:hint="eastAsia" w:ascii="仿宋_GB2312" w:hAnsi="仿宋_GB2312" w:eastAsia="仿宋_GB2312" w:cs="仿宋_GB2312"/>
          <w:sz w:val="28"/>
          <w:szCs w:val="28"/>
          <w:lang w:val="zh-CN"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零</w:t>
      </w:r>
      <w:r>
        <w:rPr>
          <w:rFonts w:hint="eastAsia" w:ascii="仿宋_GB2312" w:hAnsi="仿宋_GB2312" w:eastAsia="仿宋_GB2312" w:cs="仿宋_GB2312"/>
          <w:sz w:val="28"/>
          <w:szCs w:val="28"/>
          <w:lang w:val="zh-CN" w:eastAsia="zh-CN"/>
        </w:rPr>
        <w:t>部件）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需恢复原功能，适用于宁波轨道交通1号线、2号线信号系统，并通过全功能测试，保证性能完好，提供测试报告；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（2）所有更新、检换零部件及材料应与原维修</w:t>
      </w:r>
      <w:r>
        <w:rPr>
          <w:rFonts w:hint="eastAsia" w:ascii="仿宋_GB2312" w:hAnsi="仿宋_GB2312" w:eastAsia="仿宋_GB2312" w:cs="仿宋_GB2312"/>
          <w:sz w:val="28"/>
          <w:szCs w:val="28"/>
          <w:lang w:val="zh-CN" w:eastAsia="zh-CN"/>
        </w:rPr>
        <w:t>设备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使用的零部件及材料的规格、型号、材质、标准保持一致或更优产品，组装后测试与其他部件工作性能完全匹配；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（3）维修后的</w:t>
      </w:r>
      <w:r>
        <w:rPr>
          <w:rFonts w:hint="eastAsia" w:ascii="仿宋_GB2312" w:hAnsi="仿宋_GB2312" w:eastAsia="仿宋_GB2312" w:cs="仿宋_GB2312"/>
          <w:sz w:val="28"/>
          <w:szCs w:val="28"/>
          <w:lang w:val="zh-CN" w:eastAsia="zh-CN"/>
        </w:rPr>
        <w:t>设备（零部件）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需提供软件数据烧录服务，试验无故障，保证设备的正常稳定运行并提供该设备（零部件）的维修报告；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（4）供应商对</w:t>
      </w:r>
      <w:bookmarkEnd w:id="72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设备（零部件）维修成功率需不低于90%。采购人以半年为周期计算送修件修复率。修复率=本周期内修复好的设备（零部件）数量/送修时间达维修周期的设备（零部件）数。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（5）每半年供应商需依据设备（零部件）维修情况，提供对设备（零部件）使用环境、预防性维保等相关建议。</w:t>
      </w:r>
    </w:p>
    <w:p>
      <w:pPr>
        <w:pStyle w:val="4"/>
        <w:pageBreakBefore w:val="0"/>
        <w:numPr>
          <w:ilvl w:val="1"/>
          <w:numId w:val="0"/>
        </w:numPr>
        <w:tabs>
          <w:tab w:val="left" w:pos="1200"/>
          <w:tab w:val="left" w:pos="23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bookmarkStart w:id="73" w:name="_Toc3891"/>
      <w:bookmarkStart w:id="74" w:name="_Toc3661"/>
      <w:bookmarkStart w:id="75" w:name="_Toc5495"/>
      <w:bookmarkStart w:id="76" w:name="_Toc27000"/>
      <w:bookmarkStart w:id="77" w:name="_Toc6578"/>
      <w:bookmarkStart w:id="78" w:name="_Toc15521"/>
      <w:bookmarkStart w:id="79" w:name="_Toc24201"/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3.3服务质量要求</w:t>
      </w:r>
      <w:bookmarkEnd w:id="73"/>
      <w:bookmarkEnd w:id="74"/>
      <w:bookmarkEnd w:id="75"/>
      <w:bookmarkEnd w:id="76"/>
      <w:bookmarkEnd w:id="77"/>
      <w:bookmarkEnd w:id="78"/>
      <w:bookmarkEnd w:id="79"/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1）设备（零部件）维修完成后，供应商需提供维修清单、维修报告，维修清单包括维修件型号、故障原因、维修内容、更换配件（仅指故障件内的零配件）等内容，采购人对设备（零部件）维修结果进行检测及签字确认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2）供应商在接到采购人待维修设备（零部件）后，按照约定的维修周期交还验收合格的设备（零部件）。对于无法修复的设备（零部件）或检测测试为正常的设备（零部件）出具检测报告，标注后随同一批次修复的设备（零部件）一同返回，不得额外收取费用。供应商为采购人提供的检测服务均为免费服务，不得另外收取费用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（3）维修设备（零部件）领取、送达地点：按照采购人的指定地点为准。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4）供应商负责维修设备（零部件）的所有包装运输工作，并承担运输损坏及遗失等风险。维修设备（零部件）包装需要采取有效的防震、防摔、防碰等措施，由于运输造成维修设备（零部件）的二次损伤或遗失由供应商负责赔偿。</w:t>
      </w:r>
      <w:r>
        <w:rPr>
          <w:rFonts w:hint="eastAsia" w:ascii="仿宋_GB2312" w:hAnsi="仿宋_GB2312" w:eastAsia="仿宋_GB2312" w:cs="仿宋_GB2312"/>
          <w:sz w:val="28"/>
          <w:szCs w:val="28"/>
        </w:rPr>
        <w:t>所有电路板卡需采取安全防护包装，如：防潮、防静电、防损坏等，包装材料均由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负责提供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（5）供应商需按照国家相关法律的要求，做好知识产权的保护工作，供应商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对于送修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设备（零部件）</w:t>
      </w:r>
      <w:r>
        <w:rPr>
          <w:rFonts w:hint="eastAsia" w:ascii="仿宋_GB2312" w:hAnsi="仿宋_GB2312" w:eastAsia="仿宋_GB2312" w:cs="仿宋_GB2312"/>
          <w:sz w:val="28"/>
          <w:szCs w:val="28"/>
        </w:rPr>
        <w:t>应严格保密，确保内部数据不外泄、不丢失。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（6）设备（零部件）维修产生的运费由供应商承担。</w:t>
      </w:r>
    </w:p>
    <w:p>
      <w:pPr>
        <w:pStyle w:val="4"/>
        <w:pageBreakBefore w:val="0"/>
        <w:numPr>
          <w:ilvl w:val="1"/>
          <w:numId w:val="0"/>
        </w:numPr>
        <w:tabs>
          <w:tab w:val="left" w:pos="1200"/>
          <w:tab w:val="left" w:pos="23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/>
        <w:jc w:val="both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val="en-US" w:eastAsia="zh-CN"/>
        </w:rPr>
      </w:pPr>
      <w:bookmarkStart w:id="80" w:name="_Toc2329"/>
      <w:bookmarkStart w:id="81" w:name="_Toc15941"/>
      <w:bookmarkStart w:id="82" w:name="_Toc10120"/>
      <w:bookmarkStart w:id="83" w:name="_Toc8691"/>
      <w:bookmarkStart w:id="84" w:name="_Toc24707"/>
      <w:bookmarkStart w:id="85" w:name="_Toc19944"/>
      <w:bookmarkStart w:id="86" w:name="_Toc24586"/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val="en-US" w:eastAsia="zh-CN"/>
        </w:rPr>
        <w:t>3.4质量保证</w:t>
      </w:r>
      <w:bookmarkEnd w:id="80"/>
      <w:bookmarkEnd w:id="81"/>
      <w:bookmarkEnd w:id="82"/>
      <w:bookmarkEnd w:id="83"/>
      <w:bookmarkEnd w:id="84"/>
      <w:bookmarkEnd w:id="85"/>
      <w:bookmarkEnd w:id="86"/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（1）供应商对修复的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zh-CN" w:eastAsia="zh-CN"/>
        </w:rPr>
        <w:t>设备（零部件）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应提供1年的质保期,。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（2）供应商为维修后的设备（零部件）粘贴带有编号的易碎贴。质保期内，如果此块设备（零部件）出现故障则供应商免费再次维修，再次修复后电子板件的质保期重新计算（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如若不能修复，则扣除前次维修费用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）。返修件不纳入修复率计算。</w:t>
      </w:r>
    </w:p>
    <w:p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/>
        <w:jc w:val="both"/>
        <w:textAlignment w:val="auto"/>
        <w:rPr>
          <w:rFonts w:hint="eastAsia" w:ascii="仿宋_GB2312" w:hAnsi="仿宋_GB2312" w:eastAsia="仿宋_GB2312" w:cs="仿宋_GB2312"/>
          <w:bCs/>
          <w:kern w:val="44"/>
          <w:sz w:val="28"/>
          <w:szCs w:val="28"/>
          <w:lang w:val="zh-CN" w:eastAsia="zh-CN"/>
        </w:rPr>
      </w:pPr>
      <w:bookmarkStart w:id="87" w:name="_Toc8427"/>
      <w:bookmarkStart w:id="88" w:name="_Toc13255"/>
      <w:bookmarkStart w:id="89" w:name="_Toc11055"/>
      <w:bookmarkStart w:id="90" w:name="_Toc13085"/>
      <w:bookmarkStart w:id="91" w:name="_Toc30810"/>
      <w:bookmarkStart w:id="92" w:name="_Toc439808426"/>
      <w:bookmarkStart w:id="93" w:name="_Toc20534"/>
      <w:bookmarkStart w:id="94" w:name="_Toc15364"/>
      <w:bookmarkStart w:id="95" w:name="_Toc13989"/>
      <w:bookmarkStart w:id="96" w:name="_Toc430781566"/>
      <w:bookmarkStart w:id="97" w:name="_Toc10074"/>
      <w:r>
        <w:rPr>
          <w:rFonts w:hint="eastAsia" w:ascii="仿宋_GB2312" w:hAnsi="仿宋_GB2312" w:eastAsia="仿宋_GB2312" w:cs="仿宋_GB2312"/>
          <w:bCs/>
          <w:kern w:val="44"/>
          <w:sz w:val="28"/>
          <w:szCs w:val="28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Cs/>
          <w:kern w:val="44"/>
          <w:sz w:val="28"/>
          <w:szCs w:val="28"/>
          <w:lang w:val="zh-CN" w:eastAsia="zh-CN"/>
        </w:rPr>
        <w:t>、项目对象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本项目为框架协议，供应商按修复设备（零部件）故障点进行计费（同一坏件若有多个故障点，维修报价仅做一次综合报价），供应商以设备（零部件）故障类型提供报价。</w:t>
      </w:r>
    </w:p>
    <w:p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/>
        <w:jc w:val="both"/>
        <w:textAlignment w:val="auto"/>
        <w:rPr>
          <w:rFonts w:hint="eastAsia" w:ascii="仿宋_GB2312" w:hAnsi="仿宋_GB2312" w:eastAsia="仿宋_GB2312" w:cs="仿宋_GB2312"/>
          <w:bCs/>
          <w:kern w:val="44"/>
          <w:sz w:val="28"/>
          <w:szCs w:val="28"/>
          <w:lang w:val="zh-CN" w:eastAsia="zh-CN"/>
        </w:rPr>
      </w:pPr>
      <w:bookmarkStart w:id="98" w:name="_Toc207"/>
      <w:bookmarkStart w:id="99" w:name="_Toc29114"/>
      <w:bookmarkStart w:id="100" w:name="_Toc5933"/>
      <w:bookmarkStart w:id="101" w:name="_Toc13247"/>
      <w:bookmarkStart w:id="102" w:name="_Toc1307"/>
      <w:bookmarkStart w:id="103" w:name="_Toc22095"/>
      <w:bookmarkStart w:id="104" w:name="_Toc430781568"/>
      <w:bookmarkStart w:id="105" w:name="_Toc4843"/>
      <w:bookmarkStart w:id="106" w:name="_Toc439808428"/>
      <w:bookmarkStart w:id="107" w:name="_Toc13986"/>
      <w:bookmarkStart w:id="108" w:name="_Toc30795"/>
      <w:bookmarkStart w:id="109" w:name="_Toc447615065"/>
      <w:r>
        <w:rPr>
          <w:rFonts w:hint="eastAsia" w:ascii="仿宋_GB2312" w:hAnsi="仿宋_GB2312" w:eastAsia="仿宋_GB2312" w:cs="仿宋_GB2312"/>
          <w:bCs/>
          <w:kern w:val="44"/>
          <w:sz w:val="28"/>
          <w:szCs w:val="28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bCs/>
          <w:kern w:val="44"/>
          <w:sz w:val="28"/>
          <w:szCs w:val="28"/>
          <w:lang w:val="zh-CN" w:eastAsia="zh-CN"/>
        </w:rPr>
        <w:t>、验收标准</w:t>
      </w:r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设备（零部件）验收：外观无损坏，供应商要先进行相应的离线测试，并提交测试报告（包含测试大纲、相关测试参数等），检查无安全问题后方可上系统测试，采购人按照产品功能进行测试，设备（零部件）实现正常功能，满足在设备上的正常使用，视为维修合格、验收通过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基本要求为：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设备</w:t>
      </w:r>
      <w:r>
        <w:rPr>
          <w:rFonts w:hint="eastAsia" w:ascii="仿宋_GB2312" w:hAnsi="仿宋_GB2312" w:eastAsia="仿宋_GB2312" w:cs="仿宋_GB2312"/>
          <w:sz w:val="28"/>
          <w:szCs w:val="28"/>
        </w:rPr>
        <w:t>外观完好，无起泡、变形、无铜箔脱落以及不应有的铜箔裸露等；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设备</w:t>
      </w:r>
      <w:r>
        <w:rPr>
          <w:rFonts w:hint="eastAsia" w:ascii="仿宋_GB2312" w:hAnsi="仿宋_GB2312" w:eastAsia="仿宋_GB2312" w:cs="仿宋_GB2312"/>
          <w:sz w:val="28"/>
          <w:szCs w:val="28"/>
        </w:rPr>
        <w:t>表面无污渍，特别是锡渣、松香残留物等；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设备</w:t>
      </w:r>
      <w:r>
        <w:rPr>
          <w:rFonts w:hint="eastAsia" w:ascii="仿宋_GB2312" w:hAnsi="仿宋_GB2312" w:eastAsia="仿宋_GB2312" w:cs="仿宋_GB2312"/>
          <w:sz w:val="28"/>
          <w:szCs w:val="28"/>
        </w:rPr>
        <w:t>上不得有飞线和更换件必须与原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设备</w:t>
      </w:r>
      <w:r>
        <w:rPr>
          <w:rFonts w:hint="eastAsia" w:ascii="仿宋_GB2312" w:hAnsi="仿宋_GB2312" w:eastAsia="仿宋_GB2312" w:cs="仿宋_GB2312"/>
          <w:sz w:val="28"/>
          <w:szCs w:val="28"/>
        </w:rPr>
        <w:t>性能、参数保持完全一致；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4、所有修复的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零部件</w:t>
      </w:r>
      <w:r>
        <w:rPr>
          <w:rFonts w:hint="eastAsia" w:ascii="仿宋_GB2312" w:hAnsi="仿宋_GB2312" w:eastAsia="仿宋_GB2312" w:cs="仿宋_GB2312"/>
          <w:sz w:val="28"/>
          <w:szCs w:val="28"/>
        </w:rPr>
        <w:t>必须安装到设备中经过现场使用验证合格；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5、维修件必须有永久性维修标识；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6、验收时需提供每件维修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设备（零部件）</w:t>
      </w:r>
      <w:r>
        <w:rPr>
          <w:rFonts w:hint="eastAsia" w:ascii="仿宋_GB2312" w:hAnsi="仿宋_GB2312" w:eastAsia="仿宋_GB2312" w:cs="仿宋_GB2312"/>
          <w:sz w:val="28"/>
          <w:szCs w:val="28"/>
        </w:rPr>
        <w:t>的维修记录、检测报告；</w:t>
      </w:r>
    </w:p>
    <w:p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/>
        <w:jc w:val="both"/>
        <w:textAlignment w:val="auto"/>
        <w:rPr>
          <w:rFonts w:hint="eastAsia" w:ascii="仿宋_GB2312" w:hAnsi="仿宋_GB2312" w:eastAsia="仿宋_GB2312" w:cs="仿宋_GB2312"/>
          <w:bCs/>
          <w:kern w:val="44"/>
          <w:sz w:val="28"/>
          <w:szCs w:val="28"/>
          <w:lang w:val="en-US"/>
        </w:rPr>
      </w:pPr>
      <w:bookmarkStart w:id="110" w:name="_Toc14840"/>
      <w:bookmarkStart w:id="111" w:name="_Toc25563"/>
      <w:bookmarkStart w:id="112" w:name="_Toc6908"/>
      <w:bookmarkStart w:id="113" w:name="_Toc23237"/>
      <w:bookmarkStart w:id="114" w:name="_Toc6184"/>
      <w:bookmarkStart w:id="115" w:name="_Toc464048329"/>
      <w:bookmarkStart w:id="116" w:name="_Toc462154671"/>
      <w:bookmarkStart w:id="117" w:name="_Toc468198975"/>
      <w:bookmarkStart w:id="118" w:name="_Toc802"/>
      <w:bookmarkStart w:id="119" w:name="_Toc462154474"/>
      <w:r>
        <w:rPr>
          <w:rFonts w:hint="eastAsia" w:ascii="仿宋_GB2312" w:hAnsi="仿宋_GB2312" w:eastAsia="仿宋_GB2312" w:cs="仿宋_GB2312"/>
          <w:bCs/>
          <w:kern w:val="44"/>
          <w:sz w:val="28"/>
          <w:szCs w:val="28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bCs/>
          <w:kern w:val="44"/>
          <w:sz w:val="28"/>
          <w:szCs w:val="28"/>
          <w:lang w:val="en-US"/>
        </w:rPr>
        <w:t>、项目的其他要求</w:t>
      </w:r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在维修过程中必须认真贯彻执行质量保证体系，以完整的质量管理体系对待每一项维修工作，对维修质量严格要求。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）采购人</w:t>
      </w:r>
      <w:r>
        <w:rPr>
          <w:rFonts w:hint="eastAsia" w:ascii="仿宋_GB2312" w:hAnsi="仿宋_GB2312" w:eastAsia="仿宋_GB2312" w:cs="仿宋_GB2312"/>
          <w:sz w:val="28"/>
          <w:szCs w:val="28"/>
        </w:rPr>
        <w:t>有权在双方合作积累一定经验后，对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提出易故障电子板卡、器件的预防性维修要求。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28"/>
          <w:szCs w:val="28"/>
        </w:rPr>
        <w:t>如维修过程中发现非维修范围内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采购人</w:t>
      </w:r>
      <w:r>
        <w:rPr>
          <w:rFonts w:hint="eastAsia" w:ascii="仿宋_GB2312" w:hAnsi="仿宋_GB2312" w:eastAsia="仿宋_GB2312" w:cs="仿宋_GB2312"/>
          <w:sz w:val="28"/>
          <w:szCs w:val="28"/>
        </w:rPr>
        <w:t>设备的损坏或隐患，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应及时通知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采购人</w:t>
      </w:r>
      <w:r>
        <w:rPr>
          <w:rFonts w:hint="eastAsia" w:ascii="仿宋_GB2312" w:hAnsi="仿宋_GB2312" w:eastAsia="仿宋_GB2312" w:cs="仿宋_GB2312"/>
          <w:sz w:val="28"/>
          <w:szCs w:val="28"/>
        </w:rPr>
        <w:t>进行处理。如有紧急或者重要任务，当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采购人</w:t>
      </w:r>
      <w:r>
        <w:rPr>
          <w:rFonts w:hint="eastAsia" w:ascii="仿宋_GB2312" w:hAnsi="仿宋_GB2312" w:eastAsia="仿宋_GB2312" w:cs="仿宋_GB2312"/>
          <w:sz w:val="28"/>
          <w:szCs w:val="28"/>
        </w:rPr>
        <w:t>提出需求后，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应紧密配合，按时按要求完成维修服务工作。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28"/>
          <w:szCs w:val="28"/>
        </w:rPr>
        <w:t>因返修件投入运行后出现的大面积故障或客伤事件，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需配合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采购人</w:t>
      </w:r>
      <w:r>
        <w:rPr>
          <w:rFonts w:hint="eastAsia" w:ascii="仿宋_GB2312" w:hAnsi="仿宋_GB2312" w:eastAsia="仿宋_GB2312" w:cs="仿宋_GB2312"/>
          <w:sz w:val="28"/>
          <w:szCs w:val="28"/>
        </w:rPr>
        <w:t>维修部门进行调查分析，并在3个工作日内提供相关分析报告。</w:t>
      </w:r>
    </w:p>
    <w:p>
      <w:bookmarkStart w:id="120" w:name="_Toc27030"/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28"/>
          <w:szCs w:val="28"/>
        </w:rPr>
        <w:t>其他需约定的权利义务：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承诺遵守国家有关劳动用工和安全生产等方面的各项规定，保持从事本协议项下维修工作所应具备的全部资质要求，并承担办理相关证照产生的各项费用以及年检费用。否则，如前述任一承诺不满足的，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应承担由此导致的所有法律责任；如造成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采购人</w:t>
      </w:r>
      <w:r>
        <w:rPr>
          <w:rFonts w:hint="eastAsia" w:ascii="仿宋_GB2312" w:hAnsi="仿宋_GB2312" w:eastAsia="仿宋_GB2312" w:cs="仿宋_GB2312"/>
          <w:sz w:val="28"/>
          <w:szCs w:val="28"/>
        </w:rPr>
        <w:t>对外承担责任或遭受损失的，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并应予以赔偿。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应负责对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人员进行安全生产的培训和管理。若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人员在维修服务工作过程中发生安全事故，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应当负责解决，并承担全部责任。如因此导致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采购人</w:t>
      </w:r>
      <w:r>
        <w:rPr>
          <w:rFonts w:hint="eastAsia" w:ascii="仿宋_GB2312" w:hAnsi="仿宋_GB2312" w:eastAsia="仿宋_GB2312" w:cs="仿宋_GB2312"/>
          <w:sz w:val="28"/>
          <w:szCs w:val="28"/>
        </w:rPr>
        <w:t>对外承担责任或遭受损失的，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并应予以赔偿。</w:t>
      </w:r>
      <w:bookmarkEnd w:id="12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...">
    <w:altName w:val="微软雅黑"/>
    <w:panose1 w:val="00000000000000000000"/>
    <w:charset w:val="00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NhNDZhNGFjNWJkNWY1NWYyYWExNTk0NmU4OTUzMTAifQ=="/>
  </w:docVars>
  <w:rsids>
    <w:rsidRoot w:val="00000000"/>
    <w:rsid w:val="1ED20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widowControl/>
      <w:spacing w:before="340" w:after="330" w:line="578" w:lineRule="atLeast"/>
      <w:jc w:val="left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widowControl/>
      <w:spacing w:before="260" w:after="260" w:line="416" w:lineRule="atLeast"/>
      <w:jc w:val="left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..." w:hAnsi="Calibri" w:eastAsia="华文中宋..." w:cs="华文中宋..."/>
      <w:color w:val="000000"/>
      <w:sz w:val="24"/>
      <w:szCs w:val="24"/>
      <w:lang w:val="en-US" w:eastAsia="zh-CN" w:bidi="ar-SA"/>
    </w:rPr>
  </w:style>
  <w:style w:type="character" w:customStyle="1" w:styleId="7">
    <w:name w:val="font21"/>
    <w:basedOn w:val="6"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  <w:style w:type="character" w:customStyle="1" w:styleId="8">
    <w:name w:val="font3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2023-09-01T10:17:44Z</dcterms:created>
  <dc:creator>Administrator</dc:creator>
  <cp:lastModifiedBy>Wade</cp:lastModifiedBy>
  <dcterms:modified xsi:type="dcterms:W3CDTF">2023-09-01T10:20:18Z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E76E4D6BBA5F42EA8F8133299903C899</vt:lpwstr>
  </property>
</Properties>
</file>